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676"/>
        <w:gridCol w:w="3352"/>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2B635B2A" w:rsidR="001817B2" w:rsidRPr="00D25970" w:rsidRDefault="003B1988"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Pr>
                <w:b/>
              </w:rPr>
              <w:t xml:space="preserve">Nyakas </w:t>
            </w:r>
            <w:r w:rsidR="001817B2"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2F6A47D4" w:rsidR="001817B2" w:rsidRPr="00D25970" w:rsidRDefault="003B1988" w:rsidP="00DE7FC1">
            <w:pPr>
              <w:cnfStyle w:val="000000000000" w:firstRow="0" w:lastRow="0" w:firstColumn="0" w:lastColumn="0" w:oddVBand="0" w:evenVBand="0" w:oddHBand="0" w:evenHBand="0" w:firstRowFirstColumn="0" w:firstRowLastColumn="0" w:lastRowFirstColumn="0" w:lastRowLastColumn="0"/>
            </w:pPr>
            <w:r>
              <w:t>13-03-0001998</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3C67DF70" w:rsidR="001817B2" w:rsidRPr="00D25970" w:rsidRDefault="003B1988" w:rsidP="003B1988">
            <w:pPr>
              <w:cnfStyle w:val="000000100000" w:firstRow="0" w:lastRow="0" w:firstColumn="0" w:lastColumn="0" w:oddVBand="0" w:evenVBand="0" w:oddHBand="1" w:evenHBand="0" w:firstRowFirstColumn="0" w:firstRowLastColumn="0" w:lastRowFirstColumn="0" w:lastRowLastColumn="0"/>
            </w:pPr>
            <w:r>
              <w:t>Körmendi József</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0115E10B" w:rsidR="001817B2" w:rsidRPr="00D25970" w:rsidRDefault="003B1988" w:rsidP="003B1988">
            <w:pPr>
              <w:cnfStyle w:val="000000000000" w:firstRow="0" w:lastRow="0" w:firstColumn="0" w:lastColumn="0" w:oddVBand="0" w:evenVBand="0" w:oddHBand="0" w:evenHBand="0" w:firstRowFirstColumn="0" w:firstRowLastColumn="0" w:lastRowFirstColumn="0" w:lastRowLastColumn="0"/>
            </w:pPr>
            <w:r>
              <w:t>2073 Tök, Fő utca 1.</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1F354E90" w:rsidR="001817B2" w:rsidRPr="00D25970" w:rsidRDefault="003B1988" w:rsidP="003B1988">
            <w:pPr>
              <w:cnfStyle w:val="000000100000" w:firstRow="0" w:lastRow="0" w:firstColumn="0" w:lastColumn="0" w:oddVBand="0" w:evenVBand="0" w:oddHBand="1" w:evenHBand="0" w:firstRowFirstColumn="0" w:firstRowLastColumn="0" w:lastRowFirstColumn="0" w:lastRowLastColumn="0"/>
            </w:pPr>
            <w:r w:rsidRPr="003B1988">
              <w:t>nyakas@etyekbudaiborvidek.hu</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43725B">
            <w:pPr>
              <w:jc w:val="cente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2067C298" w:rsidR="001817B2" w:rsidRPr="00D25970" w:rsidRDefault="0026385E" w:rsidP="0026385E">
            <w:pPr>
              <w:cnfStyle w:val="000000100000" w:firstRow="0" w:lastRow="0" w:firstColumn="0" w:lastColumn="0" w:oddVBand="0" w:evenVBand="0" w:oddHBand="1" w:evenHBand="0" w:firstRowFirstColumn="0" w:firstRowLastColumn="0" w:lastRowFirstColumn="0" w:lastRowLastColumn="0"/>
            </w:pPr>
            <w:r>
              <w:t>06-23/341-129</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az ilyen adatok szabad áramlásáról, valamint a 95/46/EK irányelv hatályon kívül </w:t>
      </w:r>
      <w:r w:rsidRPr="00B46B13">
        <w:rPr>
          <w:rFonts w:eastAsia="Calibri"/>
          <w:i/>
          <w:lang w:eastAsia="hu-HU"/>
        </w:rPr>
        <w:lastRenderedPageBreak/>
        <w:t xml:space="preserve">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0" w:name="_Toc33448358"/>
      <w:bookmarkStart w:id="1"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2" w:name="_Toc33448370"/>
      <w:bookmarkStart w:id="3" w:name="_Toc35511998"/>
      <w:bookmarkEnd w:id="0"/>
      <w:bookmarkEnd w:id="1"/>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2"/>
    <w:bookmarkEnd w:id="3"/>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EEF0" w14:textId="77777777" w:rsidR="00B92957" w:rsidRDefault="00B92957" w:rsidP="00EB3A0E">
      <w:pPr>
        <w:spacing w:after="0" w:line="240" w:lineRule="auto"/>
      </w:pPr>
      <w:r>
        <w:separator/>
      </w:r>
    </w:p>
  </w:endnote>
  <w:endnote w:type="continuationSeparator" w:id="0">
    <w:p w14:paraId="7E297DC2" w14:textId="77777777" w:rsidR="00B92957" w:rsidRDefault="00B92957"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85949"/>
      <w:docPartObj>
        <w:docPartGallery w:val="Page Numbers (Bottom of Page)"/>
        <w:docPartUnique/>
      </w:docPartObj>
    </w:sdtPr>
    <w:sdtContent>
      <w:p w14:paraId="27CBF213" w14:textId="77777777" w:rsidR="00EB3A0E" w:rsidRDefault="00EB3A0E">
        <w:pPr>
          <w:pStyle w:val="llb"/>
          <w:jc w:val="center"/>
        </w:pPr>
        <w:r>
          <w:fldChar w:fldCharType="begin"/>
        </w:r>
        <w:r>
          <w:instrText>PAGE   \* MERGEFORMAT</w:instrText>
        </w:r>
        <w:r>
          <w:fldChar w:fldCharType="separate"/>
        </w:r>
        <w:r w:rsidR="004D154B">
          <w:rPr>
            <w:noProof/>
          </w:rPr>
          <w:t>4</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5723" w14:textId="77777777" w:rsidR="00B92957" w:rsidRDefault="00B92957" w:rsidP="00EB3A0E">
      <w:pPr>
        <w:spacing w:after="0" w:line="240" w:lineRule="auto"/>
      </w:pPr>
      <w:r>
        <w:separator/>
      </w:r>
    </w:p>
  </w:footnote>
  <w:footnote w:type="continuationSeparator" w:id="0">
    <w:p w14:paraId="7440DDDF" w14:textId="77777777" w:rsidR="00B92957" w:rsidRDefault="00B92957" w:rsidP="00EB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15:restartNumberingAfterBreak="0">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15:restartNumberingAfterBreak="0">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29500244">
    <w:abstractNumId w:val="13"/>
  </w:num>
  <w:num w:numId="2" w16cid:durableId="616260877">
    <w:abstractNumId w:val="11"/>
  </w:num>
  <w:num w:numId="3" w16cid:durableId="1746762255">
    <w:abstractNumId w:val="8"/>
  </w:num>
  <w:num w:numId="4" w16cid:durableId="286358131">
    <w:abstractNumId w:val="12"/>
  </w:num>
  <w:num w:numId="5" w16cid:durableId="536704801">
    <w:abstractNumId w:val="5"/>
  </w:num>
  <w:num w:numId="6" w16cid:durableId="141821329">
    <w:abstractNumId w:val="4"/>
  </w:num>
  <w:num w:numId="7" w16cid:durableId="181288227">
    <w:abstractNumId w:val="6"/>
  </w:num>
  <w:num w:numId="8" w16cid:durableId="189610830">
    <w:abstractNumId w:val="9"/>
  </w:num>
  <w:num w:numId="9" w16cid:durableId="2021464416">
    <w:abstractNumId w:val="2"/>
  </w:num>
  <w:num w:numId="10" w16cid:durableId="1575818290">
    <w:abstractNumId w:val="3"/>
  </w:num>
  <w:num w:numId="11" w16cid:durableId="1849176673">
    <w:abstractNumId w:val="1"/>
  </w:num>
  <w:num w:numId="12" w16cid:durableId="809714105">
    <w:abstractNumId w:val="10"/>
  </w:num>
  <w:num w:numId="13" w16cid:durableId="1874613807">
    <w:abstractNumId w:val="0"/>
  </w:num>
  <w:num w:numId="14" w16cid:durableId="930817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0E"/>
    <w:rsid w:val="000B6DFE"/>
    <w:rsid w:val="00174148"/>
    <w:rsid w:val="001817B2"/>
    <w:rsid w:val="001A4E0A"/>
    <w:rsid w:val="001C6298"/>
    <w:rsid w:val="001D3438"/>
    <w:rsid w:val="0026385E"/>
    <w:rsid w:val="00294570"/>
    <w:rsid w:val="0036034B"/>
    <w:rsid w:val="003B1988"/>
    <w:rsid w:val="003E00F1"/>
    <w:rsid w:val="00433535"/>
    <w:rsid w:val="0043725B"/>
    <w:rsid w:val="00472EED"/>
    <w:rsid w:val="004A7986"/>
    <w:rsid w:val="004B0F4E"/>
    <w:rsid w:val="004D154B"/>
    <w:rsid w:val="004D7B00"/>
    <w:rsid w:val="00536D73"/>
    <w:rsid w:val="0054562D"/>
    <w:rsid w:val="0059348F"/>
    <w:rsid w:val="005C504A"/>
    <w:rsid w:val="006B1AE0"/>
    <w:rsid w:val="006B716D"/>
    <w:rsid w:val="006C1A1B"/>
    <w:rsid w:val="006D1753"/>
    <w:rsid w:val="007142CF"/>
    <w:rsid w:val="007D76C4"/>
    <w:rsid w:val="00874CA3"/>
    <w:rsid w:val="008E2AB3"/>
    <w:rsid w:val="00911817"/>
    <w:rsid w:val="00944A77"/>
    <w:rsid w:val="00967701"/>
    <w:rsid w:val="009D0A7D"/>
    <w:rsid w:val="00A92BCC"/>
    <w:rsid w:val="00B46B13"/>
    <w:rsid w:val="00B555A1"/>
    <w:rsid w:val="00B92957"/>
    <w:rsid w:val="00BA013B"/>
    <w:rsid w:val="00BC649E"/>
    <w:rsid w:val="00C070FD"/>
    <w:rsid w:val="00C42F5F"/>
    <w:rsid w:val="00CC3A26"/>
    <w:rsid w:val="00CE606D"/>
    <w:rsid w:val="00D25970"/>
    <w:rsid w:val="00D627D5"/>
    <w:rsid w:val="00D778F2"/>
    <w:rsid w:val="00DC23ED"/>
    <w:rsid w:val="00DE7FC1"/>
    <w:rsid w:val="00E60B36"/>
    <w:rsid w:val="00E93F3B"/>
    <w:rsid w:val="00EB3A0E"/>
    <w:rsid w:val="00EC7CC3"/>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05F5-EFCC-4537-823E-E5CF3001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1730</Words>
  <Characters>11942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HNT22016</cp:lastModifiedBy>
  <cp:revision>3</cp:revision>
  <cp:lastPrinted>2021-04-21T12:45:00Z</cp:lastPrinted>
  <dcterms:created xsi:type="dcterms:W3CDTF">2023-05-02T07:58:00Z</dcterms:created>
  <dcterms:modified xsi:type="dcterms:W3CDTF">2023-05-02T08:46:00Z</dcterms:modified>
</cp:coreProperties>
</file>